
<file path=[Content_Types].xml><?xml version="1.0" encoding="utf-8"?>
<Types xmlns="http://schemas.openxmlformats.org/package/2006/content-types">
  <Default Extension="jpg" ContentType="image/jpe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21"/>
        <w:widowControl w:val="true"/>
        <w:numPr>
          <w:ilvl w:val="0"/>
          <w:numId w:val="0"/>
        </w:numPr>
        <w:suppressLineNumbers w:val="false"/>
        <w:pBdr/>
        <w:spacing w:after="0" w:afterAutospacing="0" w:before="0" w:beforeAutospacing="0" w:line="240" w:lineRule="auto"/>
        <w:ind w:firstLine="0" w:left="0"/>
        <w:jc w:val="right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Приложение № 3 к Документации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21"/>
        <w:widowControl w:val="true"/>
        <w:numPr>
          <w:ilvl w:val="0"/>
          <w:numId w:val="0"/>
        </w:numPr>
        <w:suppressLineNumbers w:val="false"/>
        <w:pBdr/>
        <w:spacing w:after="0" w:afterAutospacing="0" w:before="0" w:beforeAutospacing="0" w:line="240" w:lineRule="auto"/>
        <w:ind w:firstLine="0" w:left="0"/>
        <w:jc w:val="right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06"/>
        <w:widowControl w:val="false"/>
        <w:suppressLineNumbers w:val="false"/>
        <w:pBdr/>
        <w:spacing w:after="0" w:afterAutospacing="0" w:before="0" w:beforeAutospacing="0" w:line="240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  <w:highlight w:val="none"/>
        </w:rPr>
        <w:t xml:space="preserve">ТЕХНИЧЕСКОЕ ЗАДАНИЕ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</w:r>
    </w:p>
    <w:p>
      <w:pPr>
        <w:pStyle w:val="906"/>
        <w:widowControl w:val="true"/>
        <w:suppressLineNumbers w:val="false"/>
        <w:pBdr/>
        <w:spacing w:after="0" w:afterAutospacing="0" w:before="0" w:beforeAutospacing="0" w:line="240" w:lineRule="auto"/>
        <w:ind w:right="0" w:firstLine="0" w:left="0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  <w:t xml:space="preserve">на</w:t>
      </w:r>
      <w:r>
        <w:rPr>
          <w:rFonts w:ascii="Times New Roman" w:hAnsi="Times New Roman" w:eastAsia="Times New Roman" w:cs="Times New Roman"/>
          <w:b/>
          <w:bCs/>
          <w:color w:val="ff0000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  <w:t xml:space="preserve">поставку витрин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highlight w:val="none"/>
        </w:rPr>
        <w:t xml:space="preserve">ы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  <w:t xml:space="preserve"> кондитерской настольной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  <w:highlight w:val="none"/>
        </w:rPr>
        <w:t xml:space="preserve">в рамках оснащения ФОК Н.Торъял</w:t>
      </w:r>
      <w:r/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pStyle w:val="906"/>
        <w:widowControl w:val="true"/>
        <w:suppressLineNumbers w:val="false"/>
        <w:pBdr/>
        <w:spacing w:after="0" w:afterAutospacing="0" w:before="0" w:beforeAutospacing="0" w:line="240" w:lineRule="auto"/>
        <w:ind w:right="-283" w:firstLine="0" w:left="0"/>
        <w:jc w:val="left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34"/>
        <w:numPr>
          <w:ilvl w:val="0"/>
          <w:numId w:val="7"/>
        </w:numPr>
        <w:suppressLineNumbers w:val="false"/>
        <w:pBdr/>
        <w:tabs>
          <w:tab w:val="left" w:leader="none" w:pos="390"/>
        </w:tabs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Покупатель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Авт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ономное учреждение "Управление спортивных сооружений Республики Марий Эл".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34"/>
        <w:suppressLineNumbers w:val="false"/>
        <w:pBdr/>
        <w:tabs>
          <w:tab w:val="left" w:leader="none" w:pos="390"/>
        </w:tabs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2. </w:t>
      </w:r>
      <w:r>
        <w:rPr>
          <w:rFonts w:ascii="Times New Roman" w:hAnsi="Times New Roman" w:eastAsia="Times New Roman" w:cs="Times New Roman"/>
          <w:b/>
          <w:color w:val="000000" w:themeColor="text1"/>
          <w:sz w:val="22"/>
          <w:szCs w:val="22"/>
          <w:highlight w:val="none"/>
        </w:rPr>
        <w:t xml:space="preserve">Срок и условия поставки товара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: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-30 (тридцать) календарных дней с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даты заключения Договора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Сторонами,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по адресу: </w:t>
      </w:r>
      <w:r>
        <w:rPr>
          <w:rFonts w:ascii="Times New Roman" w:hAnsi="Times New Roman" w:cs="Times New Roman"/>
          <w:sz w:val="22"/>
          <w:szCs w:val="22"/>
          <w:highlight w:val="none"/>
          <w:shd w:val="clear" w:color="auto" w:fill="auto"/>
        </w:rPr>
        <w:t xml:space="preserve">Республика Марий Эл, Новоторъяльский район, пгт Новый Торъял, ул.Советская, д.57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с понедельника по пятницу с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9:00 до 17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:00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(в выходные и праздничные дни приемка Товара не осуществляется).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34"/>
        <w:suppressLineNumbers w:val="false"/>
        <w:pBdr/>
        <w:tabs>
          <w:tab w:val="left" w:leader="none" w:pos="390"/>
        </w:tabs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Поставщик обеспечивает собственными или привлеченными силами доставку Товара, его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zh-CN"/>
        </w:rPr>
        <w:t xml:space="preserve"> разгрузку  и  размещение (транспортировку) в здании Покупателя до места установки (хранения)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zh-CN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widowControl w:val="true"/>
        <w:numPr>
          <w:ilvl w:val="0"/>
          <w:numId w:val="0"/>
        </w:numPr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Поставщик не позднее, чем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за 2 (два) рабочих дня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до момента поставки товара должен уведомить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Покупателя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о планируемой отгрузке.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widowControl w:val="true"/>
        <w:numPr>
          <w:ilvl w:val="0"/>
          <w:numId w:val="0"/>
        </w:numPr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Цена Товара включает в себя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все возможные расходы Поставщика, связанные с исполнением условий договора, в том числе доставку, погрузочно-разгрузочные работы,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размещение внутри здания, 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транс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портные расходы, а также оплату обязательных платежей в соответствии с законодательством РФ. Поставка товаров должна быть осуществлена согласно срокам и условиям настоящего Технического задания, документации об аукционе и проекта Договора.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widowControl w:val="true"/>
        <w:suppressLineNumbers w:val="false"/>
        <w:pBdr/>
        <w:tabs>
          <w:tab w:val="left" w:leader="none" w:pos="450"/>
        </w:tabs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2"/>
          <w:szCs w:val="22"/>
          <w:highlight w:val="none"/>
        </w:rPr>
        <w:t xml:space="preserve">3. Форма, сроки и порядок оплаты товара: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в срок не более 7 (семи) рабочих дней с даты приемки Товара (подписания Покупателем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товарной накладной или УПД)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 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numPr>
          <w:ilvl w:val="0"/>
          <w:numId w:val="0"/>
        </w:numPr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Авансирование не предусмотрено.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numPr>
          <w:ilvl w:val="0"/>
          <w:numId w:val="0"/>
        </w:numPr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4. Условия поставки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r>
    </w:p>
    <w:p>
      <w:pPr>
        <w:pStyle w:val="906"/>
        <w:numPr>
          <w:ilvl w:val="0"/>
          <w:numId w:val="9"/>
        </w:numPr>
        <w:suppressLineNumbers w:val="false"/>
        <w:pBdr/>
        <w:tabs>
          <w:tab w:val="left" w:leader="none" w:pos="-2410"/>
          <w:tab w:val="left" w:leader="none" w:pos="0"/>
        </w:tabs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Товар должен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быть новым, не бывшими в употреблении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и поставляться в неповрежденной оригинальной упаковке, если такая упаковка предусмотрена заводом-изготовителем, либо упакован соответствующим образом в целях обеспечения сохранности Товара при транспортировке.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37"/>
        <w:pBdr/>
        <w:spacing w:line="240" w:lineRule="auto"/>
        <w:ind w:right="-283" w:firstLine="0" w:left="0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4.2.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Товар должен соответствовать санитарно-гигиеническими требованиями СанПиНа и ГОСТов, </w:t>
      </w:r>
      <w:r>
        <w:rPr>
          <w:rFonts w:ascii="Times New Roman" w:hAnsi="Times New Roman" w:cs="Times New Roman"/>
          <w:sz w:val="22"/>
          <w:szCs w:val="22"/>
          <w:highlight w:val="none"/>
          <w:lang w:eastAsia="ru-RU"/>
        </w:rPr>
        <w:t xml:space="preserve">ТР ТС 028/2011, 020/2011 и 010/2011</w:t>
      </w:r>
      <w:r>
        <w:rPr>
          <w:rFonts w:ascii="Times New Roman" w:hAnsi="Times New Roman" w:cs="Times New Roman"/>
          <w:sz w:val="22"/>
          <w:szCs w:val="22"/>
          <w:highlight w:val="none"/>
          <w:lang w:eastAsia="ru-RU"/>
        </w:rPr>
        <w:t xml:space="preserve"> (в случае обязательной сертификации)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, а также прочим нормативными документами, регулирующим стандарты качества и основ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ные требования к данному товару. Товар должен иметь сертификат соответствия. </w:t>
      </w:r>
      <w:r>
        <w:rPr>
          <w:rFonts w:ascii="Times New Roman" w:hAnsi="Times New Roman" w:cs="Times New Roman"/>
          <w:sz w:val="22"/>
          <w:szCs w:val="22"/>
          <w:highlight w:val="none"/>
          <w:lang w:eastAsia="ru-RU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283" w:firstLine="0" w:left="0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4.3.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Товар должен быть до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ставлен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транспортом и в транспортной упаковке, обеспечиваю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щих его сохранность от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внешних воздействий и любого вида повреждений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, загрязнений, влияния низких и высоких температур, пропитывания Товара посторонними запахами, обеспечивающим его дальнейшее качественное и безопасное применение. </w:t>
      </w:r>
      <w:r>
        <w:rPr>
          <w:rFonts w:ascii="Times New Roman" w:hAnsi="Times New Roman" w:eastAsia="Arial" w:cs="Times New Roman"/>
          <w:color w:val="000000" w:themeColor="text1"/>
          <w:sz w:val="22"/>
          <w:szCs w:val="22"/>
          <w:highlight w:val="none"/>
        </w:rPr>
        <w:t xml:space="preserve">Транспортная упаковка должна иметь транспортную </w:t>
      </w:r>
      <w:r>
        <w:rPr>
          <w:rFonts w:ascii="Times New Roman" w:hAnsi="Times New Roman" w:eastAsia="Arial" w:cs="Times New Roman"/>
          <w:color w:val="000000" w:themeColor="text1"/>
          <w:sz w:val="22"/>
          <w:szCs w:val="22"/>
          <w:highlight w:val="none"/>
        </w:rPr>
        <w:t xml:space="preserve">маркировку отвечающую требованиям </w:t>
      </w:r>
      <w:r>
        <w:rPr>
          <w:rFonts w:ascii="Times New Roman" w:hAnsi="Times New Roman" w:eastAsia="Arial" w:cs="Times New Roman"/>
          <w:color w:val="000000" w:themeColor="text1"/>
          <w:sz w:val="22"/>
          <w:szCs w:val="22"/>
          <w:highlight w:val="none"/>
        </w:rPr>
        <w:t xml:space="preserve">ГОСТ 14192–96 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06"/>
        <w:suppressLineNumbers w:val="false"/>
        <w:pBdr/>
        <w:tabs>
          <w:tab w:val="left" w:leader="none" w:pos="-2410"/>
          <w:tab w:val="left" w:leader="none" w:pos="0"/>
        </w:tabs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4.4.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Перевозка Товара должна быть оформлена транспортной накладной. Передача Товара Покупателю от перевозчика  подтверждается подписью уполномоченного представителя Покупателя в транспортной накладной. 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олучение Товара осуществляется Покупателем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 грузовым местам, отраженным в транспортной накладной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В случае если Товар 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оступил в поврежденной транспортной упаковке, то содержащийся в нем Товар осматривается на предмет наличия внешних повреждений и пересчитывается его количество, о чем в транспортную накладную вносится соответствующая запись или составляется отдельный акт,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фиксирующий данные обстоятельства. 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suppressLineNumbers w:val="false"/>
        <w:pBdr/>
        <w:tabs>
          <w:tab w:val="left" w:leader="none" w:pos="-2410"/>
          <w:tab w:val="left" w:leader="none" w:pos="0"/>
        </w:tabs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4.5.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Покупатель приним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ает Товар от Поставщика по наименованию, комплектности, качеству (в отношении видимых визуально дефектов), наличия товарно-сопроводительных документов в течение 5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(пяти)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рабочих дней с момента получения Товара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от перевозчика по т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ранспортной накладн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ой. Покупатель подписывает УПД или товарную накладную после приемки Товара Покупателем. В течение указанного срока Покупатель вправе предъявить Поставщику претензии в отношении выявленных дефектов/недостатков, которые последний обязан устранить не позднее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10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(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десяти)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 рабочих дней с момента их предъявле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ния. 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4.6. Покупатель вправе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привлекать к приемке экспертов и экспертные организации,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обладающие специальными знаниями по объекту закупки.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5. Гарантии качества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2"/>
          <w:szCs w:val="22"/>
          <w:highlight w:val="none"/>
        </w:rPr>
        <w:t xml:space="preserve">5.1 Гарантийный срок на товар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определяется заводом-изготовителем Товара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, и должен составлять не  менее 12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(двенадцати)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месяцев с даты подписания Покупателем  УПД или товарной накладной.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2"/>
          <w:szCs w:val="22"/>
          <w:highlight w:val="none"/>
        </w:rPr>
        <w:t xml:space="preserve">5.2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В течение гарантийного срока в случае обнаружения дефекта в поставленном Товаре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Поставщик обязан принять меры по устранению недостатков в Товаре или по его замене в течение 10 (десяти) рабочих дней с момента получения уведомления Покупателя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По согласованию с Покупателем указанный срок может быть увеличен.</w:t>
      </w:r>
      <w:r>
        <w:rPr>
          <w:rFonts w:ascii="Times New Roman" w:hAnsi="Times New Roman" w:eastAsia="Times New Roman" w:cs="Times New Roman"/>
          <w:bCs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06"/>
        <w:suppressLineNumbers w:val="false"/>
        <w:pBdr/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2"/>
          <w:szCs w:val="22"/>
          <w:highlight w:val="none"/>
        </w:rPr>
        <w:t xml:space="preserve">5.3 Центр сервисного обслуживания и ремонта должен располагаться на территории </w:t>
      </w:r>
      <w:r>
        <w:rPr>
          <w:rFonts w:ascii="Times New Roman" w:hAnsi="Times New Roman" w:eastAsia="Times New Roman" w:cs="Times New Roman"/>
          <w:bCs/>
          <w:color w:val="000000" w:themeColor="text1"/>
          <w:sz w:val="22"/>
          <w:szCs w:val="22"/>
          <w:highlight w:val="none"/>
        </w:rPr>
        <w:t xml:space="preserve">Республики Марий Эл.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Bdr/>
        <w:spacing w:after="0" w:afterAutospacing="0" w:before="0" w:beforeAutospacing="0"/>
        <w:ind w:right="-283" w:firstLine="0" w:left="0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5.3.1.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Все необходимые документы для гарантийного обслуживания, входят в комплект оборудования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(Товара)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25"/>
        <w:widowControl w:val="true"/>
        <w:suppressLineNumbers w:val="false"/>
        <w:pBdr/>
        <w:tabs>
          <w:tab w:val="clear" w:leader="none" w:pos="709"/>
          <w:tab w:val="left" w:leader="none" w:pos="1134"/>
        </w:tabs>
        <w:spacing w:after="0" w:afterAutospacing="0" w:before="0" w:beforeAutospacing="0" w:line="240" w:lineRule="auto"/>
        <w:ind w:right="-283" w:firstLine="0" w:left="0"/>
        <w:jc w:val="both"/>
        <w:rPr>
          <w:rFonts w:ascii="Times New Roman" w:hAnsi="Times New Roman" w:cs="Times New Roman"/>
          <w:bCs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bCs/>
          <w:sz w:val="22"/>
          <w:szCs w:val="22"/>
          <w:highlight w:val="none"/>
        </w:rPr>
      </w:r>
    </w:p>
    <w:p>
      <w:pPr>
        <w:pStyle w:val="925"/>
        <w:widowControl w:val="true"/>
        <w:suppressLineNumbers w:val="false"/>
        <w:pBdr/>
        <w:tabs>
          <w:tab w:val="clear" w:leader="none" w:pos="709"/>
          <w:tab w:val="left" w:leader="none" w:pos="1134"/>
        </w:tabs>
        <w:spacing w:after="0" w:afterAutospacing="0" w:before="0" w:beforeAutospacing="0" w:line="240" w:lineRule="auto"/>
        <w:ind w:right="0" w:firstLine="0" w:left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  <w:highlight w:val="none"/>
        </w:rPr>
        <w:t xml:space="preserve">6. Технические характеристики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</w:r>
    </w:p>
    <w:p>
      <w:pPr>
        <w:pStyle w:val="925"/>
        <w:widowControl w:val="true"/>
        <w:suppressLineNumbers w:val="false"/>
        <w:pBdr/>
        <w:tabs>
          <w:tab w:val="clear" w:leader="none" w:pos="709"/>
          <w:tab w:val="left" w:leader="none" w:pos="1134"/>
        </w:tabs>
        <w:spacing w:after="0" w:afterAutospacing="0" w:before="0" w:beforeAutospacing="0" w:line="240" w:lineRule="auto"/>
        <w:ind w:firstLine="284" w:left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highlight w:val="none"/>
        </w:rPr>
      </w:r>
    </w:p>
    <w:tbl>
      <w:tblPr>
        <w:tblStyle w:val="723"/>
        <w:tblInd w:w="-317" w:type="dxa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3017"/>
        <w:gridCol w:w="5426"/>
        <w:gridCol w:w="958"/>
        <w:gridCol w:w="992"/>
      </w:tblGrid>
      <w:tr>
        <w:trPr>
          <w:trHeight w:val="911"/>
        </w:trPr>
        <w:tc>
          <w:tcPr>
            <w:tcBorders/>
            <w:tcW w:w="3017" w:type="dxa"/>
            <w:vMerge w:val="restart"/>
            <w:textDirection w:val="lrTb"/>
            <w:noWrap w:val="false"/>
          </w:tcPr>
          <w:p>
            <w:pPr>
              <w:pStyle w:val="906"/>
              <w:widowControl w:val="false"/>
              <w:pBdr/>
              <w:spacing w:after="0" w:before="0"/>
              <w: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  <w:t xml:space="preserve">Наименование товара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</w:p>
        </w:tc>
        <w:tc>
          <w:tcPr>
            <w:tcBorders/>
            <w:tcW w:w="5426" w:type="dxa"/>
            <w:vMerge w:val="restart"/>
            <w:textDirection w:val="lrTb"/>
            <w:noWrap w:val="false"/>
          </w:tcPr>
          <w:p>
            <w:pPr>
              <w:pStyle w:val="906"/>
              <w:widowControl w:val="false"/>
              <w:pBdr/>
              <w:spacing w:after="0" w:before="0"/>
              <w: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  <w:lang w:val="ru-RU"/>
              </w:rPr>
              <w:t xml:space="preserve">Технические характеристики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</w:p>
        </w:tc>
        <w:tc>
          <w:tcPr>
            <w:tcBorders/>
            <w:tcW w:w="958" w:type="dxa"/>
            <w:vMerge w:val="restart"/>
            <w:textDirection w:val="lrTb"/>
            <w:noWrap w:val="false"/>
          </w:tcPr>
          <w:p>
            <w:pPr>
              <w:pStyle w:val="906"/>
              <w:widowControl w:val="false"/>
              <w:pBdr/>
              <w:spacing w:after="0" w:before="0"/>
              <w: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  <w:lang w:eastAsia="en-US"/>
              </w:rPr>
              <w:t xml:space="preserve">Ед. изм.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</w:p>
        </w:tc>
        <w:tc>
          <w:tcPr>
            <w:tcBorders/>
            <w:tcW w:w="992" w:type="dxa"/>
            <w:vMerge w:val="restart"/>
            <w:textDirection w:val="lrTb"/>
            <w:noWrap w:val="false"/>
          </w:tcPr>
          <w:p>
            <w:pPr>
              <w:pStyle w:val="906"/>
              <w:widowControl w:val="false"/>
              <w:pBdr/>
              <w:spacing w:after="0" w:before="0"/>
              <w:ind/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  <w:lang w:eastAsia="en-US"/>
              </w:rPr>
              <w:t xml:space="preserve">Кол-во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highlight w:val="none"/>
              </w:rPr>
            </w:r>
          </w:p>
        </w:tc>
      </w:tr>
      <w:tr>
        <w:trPr>
          <w:trHeight w:val="3889"/>
        </w:trPr>
        <w:tc>
          <w:tcPr>
            <w:tcBorders/>
            <w:tcW w:w="3017" w:type="dxa"/>
            <w:textDirection w:val="lrTb"/>
            <w:noWrap w:val="false"/>
          </w:tcPr>
          <w:p>
            <w:pPr>
              <w:pBdr/>
              <w:spacing w:after="0" w:afterAutospacing="0" w:line="240" w:lineRule="auto"/>
              <w:ind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Витрина кондитерская настольная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lang w:val="en-US"/>
              </w:rPr>
              <w:t xml:space="preserve">Carboma A59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 или эквивалент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lang w:val="ru-RU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1782201" cy="1635665"/>
                      <wp:effectExtent l="0" t="0" r="0" b="0"/>
                      <wp:docPr id="1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71903600" name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1782201" cy="163566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0" o:spid="_x0000_s0" type="#_x0000_t75" style="width:140.33pt;height:128.79pt;mso-wrap-distance-left:0.00pt;mso-wrap-distance-top:0.00pt;mso-wrap-distance-right:0.00pt;mso-wrap-distance-bottom:0.00pt;z-index:1;" stroked="false">
                      <v:imagedata r:id="rId9" o:title=""/>
                      <o:lock v:ext="edit" rotation="t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Фотография с интернета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vertAlign w:val="superscript"/>
              </w:rPr>
              <w:t xml:space="preserve">*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5426" w:type="dxa"/>
            <w:textDirection w:val="lrTb"/>
            <w:noWrap w:val="false"/>
          </w:tcPr>
          <w:p>
            <w:pPr>
              <w:pBdr/>
              <w:spacing w:after="0" w:afterAutospacing="0" w:line="240" w:lineRule="auto"/>
              <w:ind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  <w:t xml:space="preserve">Основные характеристики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Высота, см: не менее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Глубина, см: не менее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Длина, см: не менее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90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Цвет: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нержавеющая сталь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Температура: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+2... +10 °C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Площадь экспозиции: не менее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0,64 м2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Полезный объем: не менее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0,08 м3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Длина без боковин: не менее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86,6 см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Высота с выдвинутыми ножками: не более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73,5 см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Возможность встраивания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в барную стойку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Охлаждение: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Динамическое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Остекление: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Стеклопакеты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Задние дверцы: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Раздвижные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Глубина выкладки: не менее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27 см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Охлаждаемые полки: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Две решетки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Ограничители полок: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Встроенные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Установка полок: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Стандартно и под углом 5°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Глубина полок: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по 24,5 см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Макс. нагрузка на полку: не более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11 кг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Корпус: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Сталь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Поверхность выкладки: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Нержавеющая сталь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Изоляция корпуса: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Пенополиуретан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Компрессор: наличие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Блок управления: наличие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Выпариватель конденсата: наличие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LED-подсветка: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Боковая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Питание: не более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220 В, 50 Гц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Климатический класс: не менее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Доп. темп. окружающей среды: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до +25 °C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  <w:t xml:space="preserve">оп. отн. влажность: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  <w:t xml:space="preserve">до 60%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  <w:t xml:space="preserve">Хладагент: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  <w:t xml:space="preserve">R600a, R290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hd w:val="clear" w:color="ffffff" w:fill="ffffff"/>
              <w:spacing w:after="0" w:before="0"/>
              <w:ind w:right="0" w:firstLine="0" w:left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  <w:t xml:space="preserve">Тип агрегата: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  <w:t xml:space="preserve">встроенный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Масса: не более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89 кг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Обрешетка-упаковка (дерево): не более 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105х75х89 см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Ценникодержатели: наличие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Поддон под макарони 1 или 2 секции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Подставка для бутербродов: наличие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Поддон-ценник для мелкой выпечки: наличие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r>
          </w:p>
          <w:p>
            <w:pPr>
              <w:pBdr/>
              <w:spacing w:after="0" w:afterAutospacing="0" w:before="0" w:line="240" w:lineRule="auto"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highlight w:val="none"/>
              </w:rPr>
              <w:t xml:space="preserve">Гарантия: не менее 12 месяцев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95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  <w:t xml:space="preserve">шт.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/>
            <w:tcW w:w="99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</w:rPr>
            </w:r>
          </w:p>
        </w:tc>
      </w:tr>
    </w:tbl>
    <w:p>
      <w:pPr>
        <w:pStyle w:val="925"/>
        <w:widowControl w:val="true"/>
        <w:suppressLineNumbers w:val="false"/>
        <w:pBdr/>
        <w:tabs>
          <w:tab w:val="clear" w:leader="none" w:pos="709"/>
          <w:tab w:val="left" w:leader="none" w:pos="1134"/>
        </w:tabs>
        <w:spacing w:after="0" w:afterAutospacing="0" w:before="0" w:beforeAutospacing="0" w:line="240" w:lineRule="auto"/>
        <w:ind w:firstLine="284" w:left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r>
    </w:p>
    <w:p>
      <w:pPr>
        <w:pStyle w:val="906"/>
        <w:pBdr/>
        <w:spacing w:after="0" w:before="0"/>
        <w:ind w:right="0" w:firstLine="0" w:left="0"/>
        <w:jc w:val="both"/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none"/>
        </w:rPr>
        <w:t xml:space="preserve">*</w:t>
      </w:r>
      <w:r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none"/>
        </w:rPr>
        <w:t xml:space="preserve">фотографии (изображение, вид)</w:t>
      </w:r>
      <w:r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none"/>
        </w:rPr>
        <w:t xml:space="preserve">, указанные Покупателем в наст</w:t>
      </w:r>
      <w:r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none"/>
        </w:rPr>
        <w:t xml:space="preserve">оящем Техническом задании, носят лишь описательный, а не ограничительный характер, и предъявляют требования к характеристике товаров, их функциональности, иным показателям, связанным с определением соответствия поставляемых товаров потребностям Покупателя.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b/>
          <w:bCs/>
          <w:i/>
          <w:color w:val="ff0000"/>
          <w:sz w:val="22"/>
          <w:szCs w:val="22"/>
          <w:highlight w:val="none"/>
        </w:rPr>
      </w:r>
    </w:p>
    <w:p>
      <w:pPr>
        <w:pStyle w:val="925"/>
        <w:widowControl w:val="true"/>
        <w:suppressLineNumbers w:val="false"/>
        <w:pBdr/>
        <w:tabs>
          <w:tab w:val="clear" w:leader="none" w:pos="709"/>
          <w:tab w:val="left" w:leader="none" w:pos="1134"/>
        </w:tabs>
        <w:spacing w:after="0" w:afterAutospacing="0" w:before="0" w:beforeAutospacing="0" w:line="240" w:lineRule="auto"/>
        <w:ind w:firstLine="284" w:left="0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r>
    </w:p>
    <w:sectPr>
      <w:footnotePr/>
      <w:endnotePr/>
      <w:type w:val="nextPage"/>
      <w:pgSz w:h="16838" w:orient="portrait" w:w="11906"/>
      <w:pgMar w:top="567" w:right="1134" w:bottom="1134" w:left="1134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SchoolBookC;Times New Roman">
    <w:panose1 w:val="05040102010807070707"/>
  </w:font>
  <w:font w:name="Noto Sans CJK SC">
    <w:panose1 w:val="05040102010807070707"/>
  </w:font>
  <w:font w:name="Arial">
    <w:panose1 w:val="020B0604020202020204"/>
  </w:font>
  <w:font w:name="Wingdings">
    <w:panose1 w:val="05000000000000000000"/>
  </w:font>
  <w:font w:name="Liberation Sans">
    <w:panose1 w:val="020B0604020202020204"/>
  </w:font>
  <w:font w:name="Noto Serif CJK SC">
    <w:panose1 w:val="05040102010807070707"/>
  </w:font>
  <w:font w:name="Courier New">
    <w:panose1 w:val="02070309020205020404"/>
  </w:font>
  <w:font w:name="Trebuchet MS">
    <w:panose1 w:val="020B0603020202020204"/>
  </w:font>
  <w:font w:name="OpenSymbol">
    <w:panose1 w:val="05010000000000000000"/>
  </w:font>
  <w:font w:name="Lohit Devanagari">
    <w:panose1 w:val="05040102010807070707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firstLine="0" w:left="0"/>
      </w:pPr>
      <w:pStyle w:val="907"/>
      <w:rPr/>
      <w:start w:val="1"/>
      <w:suff w:val="nothing"/>
    </w:lvl>
    <w:lvl w:ilvl="1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>
        <w:b/>
        <w:bCs/>
      </w:rPr>
      <w:start w:val="1"/>
      <w:suff w:val="tab"/>
    </w:lvl>
    <w:lvl w:ilvl="1">
      <w:isLgl w:val="false"/>
      <w:lvlJc w:val="left"/>
      <w:lvlText w:val="%1.%2"/>
      <w:numFmt w:val="decimal"/>
      <w:pPr>
        <w:pBdr/>
        <w:tabs>
          <w:tab w:val="num" w:leader="none" w:pos="556"/>
        </w:tabs>
        <w:spacing/>
        <w:ind w:hanging="480" w:left="556"/>
      </w:pPr>
      <w:rPr>
        <w:b w:val="0"/>
      </w:rPr>
      <w:start w:val="1"/>
      <w:suff w:val="tab"/>
    </w:lvl>
    <w:lvl w:ilvl="2">
      <w:isLgl w:val="false"/>
      <w:lvlJc w:val="left"/>
      <w:lvlText w:val="%1.%2.%3"/>
      <w:numFmt w:val="decimal"/>
      <w:pPr>
        <w:pBdr/>
        <w:tabs>
          <w:tab w:val="num" w:leader="none" w:pos="796"/>
        </w:tabs>
        <w:spacing/>
        <w:ind w:hanging="720" w:left="796"/>
      </w:pPr>
      <w:rPr/>
      <w:start w:val="1"/>
      <w:suff w:val="tab"/>
    </w:lvl>
    <w:lvl w:ilvl="3">
      <w:isLgl w:val="false"/>
      <w:lvlJc w:val="left"/>
      <w:lvlText w:val="%1.%2.%3.%4"/>
      <w:numFmt w:val="decimal"/>
      <w:pPr>
        <w:pBdr/>
        <w:tabs>
          <w:tab w:val="num" w:leader="none" w:pos="796"/>
        </w:tabs>
        <w:spacing/>
        <w:ind w:hanging="720" w:left="796"/>
      </w:pPr>
      <w:rPr/>
      <w:start w:val="1"/>
      <w:suff w:val="tab"/>
    </w:lvl>
    <w:lvl w:ilvl="4">
      <w:isLgl w:val="false"/>
      <w:lvlJc w:val="left"/>
      <w:lvlText w:val="%1.%2.%3.%4.%5"/>
      <w:numFmt w:val="decimal"/>
      <w:pPr>
        <w:pBdr/>
        <w:tabs>
          <w:tab w:val="num" w:leader="none" w:pos="1156"/>
        </w:tabs>
        <w:spacing/>
        <w:ind w:hanging="1080" w:left="1156"/>
      </w:pPr>
      <w:rPr/>
      <w:start w:val="1"/>
      <w:suff w:val="tab"/>
    </w:lvl>
    <w:lvl w:ilvl="5">
      <w:isLgl w:val="false"/>
      <w:lvlJc w:val="left"/>
      <w:lvlText w:val="%1.%2.%3.%4.%5.%6"/>
      <w:numFmt w:val="decimal"/>
      <w:pPr>
        <w:pBdr/>
        <w:tabs>
          <w:tab w:val="num" w:leader="none" w:pos="1156"/>
        </w:tabs>
        <w:spacing/>
        <w:ind w:hanging="1080" w:left="1156"/>
      </w:pPr>
      <w:rPr/>
      <w:start w:val="1"/>
      <w:suff w:val="tab"/>
    </w:lvl>
    <w:lvl w:ilvl="6">
      <w:isLgl w:val="false"/>
      <w:lvlJc w:val="left"/>
      <w:lvlText w:val="%1.%2.%3.%4.%5.%6.%7"/>
      <w:numFmt w:val="decimal"/>
      <w:pPr>
        <w:pBdr/>
        <w:tabs>
          <w:tab w:val="num" w:leader="none" w:pos="1516"/>
        </w:tabs>
        <w:spacing/>
        <w:ind w:hanging="1440" w:left="1516"/>
      </w:pPr>
      <w:rPr/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tabs>
          <w:tab w:val="num" w:leader="none" w:pos="1516"/>
        </w:tabs>
        <w:spacing/>
        <w:ind w:hanging="1440" w:left="1516"/>
      </w:pPr>
      <w:rPr/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tabs>
          <w:tab w:val="num" w:leader="none" w:pos="1876"/>
        </w:tabs>
        <w:spacing/>
        <w:ind w:hanging="1800" w:left="1876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360"/>
      </w:pPr>
      <w:rPr>
        <w:rFonts w:ascii="Times New Roman" w:hAnsi="Times New Roman" w:eastAsia="Times New Roman" w:cs="Times New Roman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hanging="432" w:left="1000"/>
      </w:pPr>
      <w:rPr>
        <w:color w:val="auto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0"/>
        </w:tabs>
        <w:spacing/>
        <w:ind w:hanging="504" w:left="1224"/>
      </w:pPr>
      <w:rPr>
        <w:color w:val="auto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0"/>
        </w:tabs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0"/>
        </w:tabs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0"/>
        </w:tabs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0"/>
        </w:tabs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0"/>
        </w:tabs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0"/>
        </w:tabs>
        <w:spacing/>
        <w:ind w:hanging="1440" w:left="432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>
        <w:rFonts w:ascii="Times New Roman" w:hAnsi="Times New Roman" w:eastAsia="Times New Roman" w:cs="Times New Roman"/>
        <w:b/>
        <w:sz w:val="2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09"/>
      </w:pPr>
      <w:rPr>
        <w:rFonts w:ascii="Times New Roman" w:hAnsi="Times New Roman" w:eastAsia="Times New Roman" w:cs="Times New Roman"/>
        <w:b/>
        <w:sz w:val="2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8">
    <w:lvl w:ilvl="0">
      <w:isLgl w:val="false"/>
      <w:lvlJc w:val="left"/>
      <w:lvlText w:val="4.%1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0">
    <w:name w:val="Placeholder Text"/>
    <w:basedOn w:val="919"/>
    <w:uiPriority w:val="99"/>
    <w:semiHidden/>
    <w:pPr>
      <w:pBdr/>
      <w:spacing/>
      <w:ind/>
    </w:pPr>
    <w:rPr>
      <w:color w:val="666666"/>
    </w:rPr>
  </w:style>
  <w:style w:type="character" w:styleId="721">
    <w:name w:val="Caption Char"/>
    <w:basedOn w:val="923"/>
    <w:link w:val="885"/>
    <w:uiPriority w:val="99"/>
    <w:pPr>
      <w:pBdr/>
      <w:spacing/>
      <w:ind/>
    </w:pPr>
  </w:style>
  <w:style w:type="table" w:styleId="722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Table Grid"/>
    <w:basedOn w:val="72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Table Grid Light"/>
    <w:basedOn w:val="72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Plain Table 1"/>
    <w:basedOn w:val="72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Plain Table 2"/>
    <w:basedOn w:val="722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Plain Table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Plain Table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Plain Table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1 Light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1 Light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1 Light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1 Light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1 Light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1 Light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2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2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2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2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2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3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3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3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3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3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3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"/>
    <w:basedOn w:val="7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4 - Accent 1"/>
    <w:basedOn w:val="7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4 - Accent 2"/>
    <w:basedOn w:val="7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4 - Accent 3"/>
    <w:basedOn w:val="7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4 - Accent 4"/>
    <w:basedOn w:val="7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4 - Accent 5"/>
    <w:basedOn w:val="7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4 - Accent 6"/>
    <w:basedOn w:val="72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5 Dark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5 Dark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5 Dark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5 Dark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5 Dark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5 Dark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6 Colorful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6 Colorful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6 Colorful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6 Colorful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6 Colorful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6 Colorful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7 Colorful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7 Colorful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7 Colorful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7 Colorful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7 Colorful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7 Colorful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1 Light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1 Light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1 Light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1 Light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1 Light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1 Light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2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2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2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2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2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2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3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3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3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3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3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3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4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4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4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4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4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4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5 Dark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5 Dark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5 Dark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5 Dark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5 Dark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5 Dark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6 Colorful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6 Colorful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6 Colorful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6 Colorful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6 Colorful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6 Colorful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7 Colorful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7 Colorful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7 Colorful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7 Colorful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7 Colorful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7 Colorful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ned - Accent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ned - Accent 1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ned - Accent 2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ned - Accent 3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ned - Accent 4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ned - Accent 5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ned - Accent 6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&amp; Lined - Accent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&amp; Lined - Accent 1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&amp; Lined - Accent 2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&amp; Lined - Accent 3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&amp; Lined - Accent 4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Bordered &amp; Lined - Accent 5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Bordered &amp; Lined - Accent 6"/>
    <w:basedOn w:val="72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Bordered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Bordered - Accent 1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Bordered - Accent 2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Bordered - Accent 3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Bordered - Accent 4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Bordered - Accent 5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Bordered - Accent 6"/>
    <w:basedOn w:val="72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49">
    <w:name w:val="Heading 2"/>
    <w:basedOn w:val="906"/>
    <w:next w:val="906"/>
    <w:link w:val="859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50">
    <w:name w:val="Heading 3"/>
    <w:basedOn w:val="906"/>
    <w:next w:val="906"/>
    <w:link w:val="860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51">
    <w:name w:val="Heading 4"/>
    <w:basedOn w:val="906"/>
    <w:next w:val="906"/>
    <w:link w:val="861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52">
    <w:name w:val="Heading 5"/>
    <w:basedOn w:val="906"/>
    <w:next w:val="906"/>
    <w:link w:val="862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53">
    <w:name w:val="Heading 6"/>
    <w:basedOn w:val="906"/>
    <w:next w:val="906"/>
    <w:link w:val="863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54">
    <w:name w:val="Heading 7"/>
    <w:basedOn w:val="906"/>
    <w:next w:val="906"/>
    <w:link w:val="864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55">
    <w:name w:val="Heading 8"/>
    <w:basedOn w:val="906"/>
    <w:next w:val="906"/>
    <w:link w:val="865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56">
    <w:name w:val="Heading 9"/>
    <w:basedOn w:val="906"/>
    <w:next w:val="906"/>
    <w:link w:val="866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numbering" w:styleId="857" w:default="1">
    <w:name w:val="No List"/>
    <w:uiPriority w:val="99"/>
    <w:semiHidden/>
    <w:unhideWhenUsed/>
    <w:pPr>
      <w:pBdr/>
      <w:spacing/>
      <w:ind/>
    </w:pPr>
  </w:style>
  <w:style w:type="character" w:styleId="858">
    <w:name w:val="Heading 1 Char"/>
    <w:basedOn w:val="919"/>
    <w:link w:val="90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59">
    <w:name w:val="Heading 2 Char"/>
    <w:basedOn w:val="919"/>
    <w:link w:val="84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60">
    <w:name w:val="Heading 3 Char"/>
    <w:basedOn w:val="919"/>
    <w:link w:val="85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61">
    <w:name w:val="Heading 4 Char"/>
    <w:basedOn w:val="919"/>
    <w:link w:val="85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62">
    <w:name w:val="Heading 5 Char"/>
    <w:basedOn w:val="919"/>
    <w:link w:val="85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63">
    <w:name w:val="Heading 6 Char"/>
    <w:basedOn w:val="919"/>
    <w:link w:val="85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64">
    <w:name w:val="Heading 7 Char"/>
    <w:basedOn w:val="919"/>
    <w:link w:val="85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65">
    <w:name w:val="Heading 8 Char"/>
    <w:basedOn w:val="919"/>
    <w:link w:val="85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66">
    <w:name w:val="Heading 9 Char"/>
    <w:basedOn w:val="919"/>
    <w:link w:val="85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67">
    <w:name w:val="Title"/>
    <w:basedOn w:val="906"/>
    <w:next w:val="906"/>
    <w:link w:val="868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68">
    <w:name w:val="Title Char"/>
    <w:basedOn w:val="919"/>
    <w:link w:val="867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69">
    <w:name w:val="Subtitle"/>
    <w:basedOn w:val="906"/>
    <w:next w:val="906"/>
    <w:link w:val="870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70">
    <w:name w:val="Subtitle Char"/>
    <w:basedOn w:val="919"/>
    <w:link w:val="869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71">
    <w:name w:val="Quote"/>
    <w:basedOn w:val="906"/>
    <w:next w:val="906"/>
    <w:link w:val="872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72">
    <w:name w:val="Quote Char"/>
    <w:basedOn w:val="919"/>
    <w:link w:val="871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73">
    <w:name w:val="Intense Emphasis"/>
    <w:basedOn w:val="919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74">
    <w:name w:val="Intense Quote"/>
    <w:basedOn w:val="906"/>
    <w:next w:val="906"/>
    <w:link w:val="875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75">
    <w:name w:val="Intense Quote Char"/>
    <w:basedOn w:val="919"/>
    <w:link w:val="874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76">
    <w:name w:val="Intense Reference"/>
    <w:basedOn w:val="919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77">
    <w:name w:val="No Spacing"/>
    <w:basedOn w:val="906"/>
    <w:uiPriority w:val="1"/>
    <w:qFormat/>
    <w:pPr>
      <w:pBdr/>
      <w:spacing w:after="0" w:line="240" w:lineRule="auto"/>
      <w:ind/>
    </w:pPr>
  </w:style>
  <w:style w:type="character" w:styleId="878">
    <w:name w:val="Subtle Emphasis"/>
    <w:basedOn w:val="919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79">
    <w:name w:val="Emphasis"/>
    <w:basedOn w:val="919"/>
    <w:uiPriority w:val="20"/>
    <w:qFormat/>
    <w:pPr>
      <w:pBdr/>
      <w:spacing/>
      <w:ind/>
    </w:pPr>
    <w:rPr>
      <w:i/>
      <w:iCs/>
    </w:rPr>
  </w:style>
  <w:style w:type="character" w:styleId="880">
    <w:name w:val="Strong"/>
    <w:basedOn w:val="919"/>
    <w:uiPriority w:val="22"/>
    <w:qFormat/>
    <w:pPr>
      <w:pBdr/>
      <w:spacing/>
      <w:ind/>
    </w:pPr>
    <w:rPr>
      <w:b/>
      <w:bCs/>
    </w:rPr>
  </w:style>
  <w:style w:type="character" w:styleId="881">
    <w:name w:val="Subtle Reference"/>
    <w:basedOn w:val="919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82">
    <w:name w:val="Book Title"/>
    <w:basedOn w:val="919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83">
    <w:name w:val="Header"/>
    <w:basedOn w:val="906"/>
    <w:link w:val="884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84">
    <w:name w:val="Header Char"/>
    <w:basedOn w:val="919"/>
    <w:link w:val="883"/>
    <w:uiPriority w:val="99"/>
    <w:pPr>
      <w:pBdr/>
      <w:spacing/>
      <w:ind/>
    </w:pPr>
  </w:style>
  <w:style w:type="paragraph" w:styleId="885">
    <w:name w:val="Footer"/>
    <w:basedOn w:val="906"/>
    <w:link w:val="88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86">
    <w:name w:val="Footer Char"/>
    <w:basedOn w:val="919"/>
    <w:link w:val="885"/>
    <w:uiPriority w:val="99"/>
    <w:pPr>
      <w:pBdr/>
      <w:spacing/>
      <w:ind/>
    </w:pPr>
  </w:style>
  <w:style w:type="paragraph" w:styleId="887">
    <w:name w:val="footnote text"/>
    <w:basedOn w:val="906"/>
    <w:link w:val="88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8">
    <w:name w:val="Footnote Text Char"/>
    <w:basedOn w:val="919"/>
    <w:link w:val="887"/>
    <w:uiPriority w:val="99"/>
    <w:semiHidden/>
    <w:pPr>
      <w:pBdr/>
      <w:spacing/>
      <w:ind/>
    </w:pPr>
    <w:rPr>
      <w:sz w:val="20"/>
      <w:szCs w:val="20"/>
    </w:rPr>
  </w:style>
  <w:style w:type="character" w:styleId="889">
    <w:name w:val="footnote reference"/>
    <w:basedOn w:val="919"/>
    <w:uiPriority w:val="99"/>
    <w:semiHidden/>
    <w:unhideWhenUsed/>
    <w:pPr>
      <w:pBdr/>
      <w:spacing/>
      <w:ind/>
    </w:pPr>
    <w:rPr>
      <w:vertAlign w:val="superscript"/>
    </w:rPr>
  </w:style>
  <w:style w:type="paragraph" w:styleId="890">
    <w:name w:val="endnote text"/>
    <w:basedOn w:val="906"/>
    <w:link w:val="89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91">
    <w:name w:val="Endnote Text Char"/>
    <w:basedOn w:val="919"/>
    <w:link w:val="890"/>
    <w:uiPriority w:val="99"/>
    <w:semiHidden/>
    <w:pPr>
      <w:pBdr/>
      <w:spacing/>
      <w:ind/>
    </w:pPr>
    <w:rPr>
      <w:sz w:val="20"/>
      <w:szCs w:val="20"/>
    </w:rPr>
  </w:style>
  <w:style w:type="character" w:styleId="892">
    <w:name w:val="endnote reference"/>
    <w:basedOn w:val="919"/>
    <w:uiPriority w:val="99"/>
    <w:semiHidden/>
    <w:unhideWhenUsed/>
    <w:pPr>
      <w:pBdr/>
      <w:spacing/>
      <w:ind/>
    </w:pPr>
    <w:rPr>
      <w:vertAlign w:val="superscript"/>
    </w:rPr>
  </w:style>
  <w:style w:type="character" w:styleId="893">
    <w:name w:val="Hyperlink"/>
    <w:basedOn w:val="919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94">
    <w:name w:val="FollowedHyperlink"/>
    <w:basedOn w:val="919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95">
    <w:name w:val="toc 1"/>
    <w:basedOn w:val="906"/>
    <w:next w:val="906"/>
    <w:uiPriority w:val="39"/>
    <w:unhideWhenUsed/>
    <w:pPr>
      <w:pBdr/>
      <w:spacing w:after="100"/>
      <w:ind/>
    </w:pPr>
  </w:style>
  <w:style w:type="paragraph" w:styleId="896">
    <w:name w:val="toc 2"/>
    <w:basedOn w:val="906"/>
    <w:next w:val="906"/>
    <w:uiPriority w:val="39"/>
    <w:unhideWhenUsed/>
    <w:pPr>
      <w:pBdr/>
      <w:spacing w:after="100"/>
      <w:ind w:left="220"/>
    </w:pPr>
  </w:style>
  <w:style w:type="paragraph" w:styleId="897">
    <w:name w:val="toc 3"/>
    <w:basedOn w:val="906"/>
    <w:next w:val="906"/>
    <w:uiPriority w:val="39"/>
    <w:unhideWhenUsed/>
    <w:pPr>
      <w:pBdr/>
      <w:spacing w:after="100"/>
      <w:ind w:left="440"/>
    </w:pPr>
  </w:style>
  <w:style w:type="paragraph" w:styleId="898">
    <w:name w:val="toc 4"/>
    <w:basedOn w:val="906"/>
    <w:next w:val="906"/>
    <w:uiPriority w:val="39"/>
    <w:unhideWhenUsed/>
    <w:pPr>
      <w:pBdr/>
      <w:spacing w:after="100"/>
      <w:ind w:left="660"/>
    </w:pPr>
  </w:style>
  <w:style w:type="paragraph" w:styleId="899">
    <w:name w:val="toc 5"/>
    <w:basedOn w:val="906"/>
    <w:next w:val="906"/>
    <w:uiPriority w:val="39"/>
    <w:unhideWhenUsed/>
    <w:pPr>
      <w:pBdr/>
      <w:spacing w:after="100"/>
      <w:ind w:left="880"/>
    </w:pPr>
  </w:style>
  <w:style w:type="paragraph" w:styleId="900">
    <w:name w:val="toc 6"/>
    <w:basedOn w:val="906"/>
    <w:next w:val="906"/>
    <w:uiPriority w:val="39"/>
    <w:unhideWhenUsed/>
    <w:pPr>
      <w:pBdr/>
      <w:spacing w:after="100"/>
      <w:ind w:left="1100"/>
    </w:pPr>
  </w:style>
  <w:style w:type="paragraph" w:styleId="901">
    <w:name w:val="toc 7"/>
    <w:basedOn w:val="906"/>
    <w:next w:val="906"/>
    <w:uiPriority w:val="39"/>
    <w:unhideWhenUsed/>
    <w:pPr>
      <w:pBdr/>
      <w:spacing w:after="100"/>
      <w:ind w:left="1320"/>
    </w:pPr>
  </w:style>
  <w:style w:type="paragraph" w:styleId="902">
    <w:name w:val="toc 8"/>
    <w:basedOn w:val="906"/>
    <w:next w:val="906"/>
    <w:uiPriority w:val="39"/>
    <w:unhideWhenUsed/>
    <w:pPr>
      <w:pBdr/>
      <w:spacing w:after="100"/>
      <w:ind w:left="1540"/>
    </w:pPr>
  </w:style>
  <w:style w:type="paragraph" w:styleId="903">
    <w:name w:val="toc 9"/>
    <w:basedOn w:val="906"/>
    <w:next w:val="906"/>
    <w:uiPriority w:val="39"/>
    <w:unhideWhenUsed/>
    <w:pPr>
      <w:pBdr/>
      <w:spacing w:after="100"/>
      <w:ind w:left="1760"/>
    </w:pPr>
  </w:style>
  <w:style w:type="paragraph" w:styleId="904">
    <w:name w:val="TOC Heading"/>
    <w:uiPriority w:val="39"/>
    <w:unhideWhenUsed/>
    <w:pPr>
      <w:pBdr/>
      <w:spacing/>
      <w:ind/>
    </w:pPr>
  </w:style>
  <w:style w:type="paragraph" w:styleId="905">
    <w:name w:val="table of figures"/>
    <w:basedOn w:val="906"/>
    <w:next w:val="906"/>
    <w:uiPriority w:val="99"/>
    <w:unhideWhenUsed/>
    <w:pPr>
      <w:pBdr/>
      <w:spacing w:after="0" w:afterAutospacing="0"/>
      <w:ind/>
    </w:pPr>
  </w:style>
  <w:style w:type="paragraph" w:styleId="906" w:default="1">
    <w:name w:val="Normal"/>
    <w:qFormat/>
    <w:pPr>
      <w:widowControl w:val="true"/>
      <w:pBdr/>
      <w:spacing w:after="0" w:before="0"/>
      <w:ind/>
      <w:jc w:val="left"/>
    </w:pPr>
    <w:rPr>
      <w:rFonts w:ascii="Liberation Serif" w:hAnsi="Liberation Serif" w:eastAsia="Noto Serif CJK SC" w:cs="Lohit Devanagari"/>
      <w:color w:val="auto"/>
      <w:sz w:val="24"/>
      <w:szCs w:val="24"/>
      <w:lang w:val="ru-RU" w:eastAsia="zh-CN" w:bidi="hi-IN"/>
    </w:rPr>
  </w:style>
  <w:style w:type="paragraph" w:styleId="907">
    <w:name w:val="Heading 1"/>
    <w:basedOn w:val="920"/>
    <w:next w:val="921"/>
    <w:qFormat/>
    <w:pPr>
      <w:numPr>
        <w:ilvl w:val="0"/>
        <w:numId w:val="1"/>
      </w:numPr>
      <w:pBdr/>
      <w:spacing w:after="120" w:before="240"/>
      <w:ind/>
      <w:outlineLvl w:val="0"/>
    </w:pPr>
    <w:rPr>
      <w:rFonts w:ascii="Liberation Serif" w:hAnsi="Liberation Serif" w:eastAsia="Noto Serif CJK SC" w:cs="Lohit Devanagari"/>
      <w:b/>
      <w:bCs/>
      <w:sz w:val="48"/>
      <w:szCs w:val="48"/>
    </w:rPr>
  </w:style>
  <w:style w:type="character" w:styleId="908">
    <w:name w:val="Маркеры списка"/>
    <w:qFormat/>
    <w:pPr>
      <w:pBdr/>
      <w:spacing/>
      <w:ind/>
    </w:pPr>
    <w:rPr>
      <w:rFonts w:ascii="OpenSymbol" w:hAnsi="OpenSymbol" w:eastAsia="OpenSymbol" w:cs="OpenSymbol"/>
    </w:rPr>
  </w:style>
  <w:style w:type="character" w:styleId="909">
    <w:name w:val="Интернет-ссылка"/>
    <w:pPr>
      <w:pBdr/>
      <w:spacing/>
      <w:ind/>
    </w:pPr>
    <w:rPr>
      <w:color w:val="000080"/>
      <w:u w:val="single"/>
    </w:rPr>
  </w:style>
  <w:style w:type="character" w:styleId="910">
    <w:name w:val="WW8Num16z0"/>
    <w:qFormat/>
    <w:pPr>
      <w:pBdr/>
      <w:spacing/>
      <w:ind/>
    </w:pPr>
    <w:rPr>
      <w:b/>
      <w:bCs/>
    </w:rPr>
  </w:style>
  <w:style w:type="character" w:styleId="911">
    <w:name w:val="WW8Num16z1"/>
    <w:qFormat/>
    <w:pPr>
      <w:pBdr/>
      <w:spacing/>
      <w:ind/>
    </w:pPr>
    <w:rPr>
      <w:b w:val="0"/>
    </w:rPr>
  </w:style>
  <w:style w:type="character" w:styleId="912">
    <w:name w:val="WW8Num16z2"/>
    <w:qFormat/>
    <w:pPr>
      <w:pBdr/>
      <w:spacing/>
      <w:ind/>
    </w:pPr>
  </w:style>
  <w:style w:type="character" w:styleId="913">
    <w:name w:val="WW8Num16z3"/>
    <w:qFormat/>
    <w:pPr>
      <w:pBdr/>
      <w:spacing/>
      <w:ind/>
    </w:pPr>
  </w:style>
  <w:style w:type="character" w:styleId="914">
    <w:name w:val="WW8Num16z4"/>
    <w:qFormat/>
    <w:pPr>
      <w:pBdr/>
      <w:spacing/>
      <w:ind/>
    </w:pPr>
  </w:style>
  <w:style w:type="character" w:styleId="915">
    <w:name w:val="WW8Num16z5"/>
    <w:qFormat/>
    <w:pPr>
      <w:pBdr/>
      <w:spacing/>
      <w:ind/>
    </w:pPr>
  </w:style>
  <w:style w:type="character" w:styleId="916">
    <w:name w:val="WW8Num16z6"/>
    <w:qFormat/>
    <w:pPr>
      <w:pBdr/>
      <w:spacing/>
      <w:ind/>
    </w:pPr>
  </w:style>
  <w:style w:type="character" w:styleId="917">
    <w:name w:val="WW8Num16z7"/>
    <w:qFormat/>
    <w:pPr>
      <w:pBdr/>
      <w:spacing/>
      <w:ind/>
    </w:pPr>
  </w:style>
  <w:style w:type="character" w:styleId="918">
    <w:name w:val="WW8Num16z8"/>
    <w:qFormat/>
    <w:pPr>
      <w:pBdr/>
      <w:spacing/>
      <w:ind/>
    </w:pPr>
  </w:style>
  <w:style w:type="character" w:styleId="919" w:default="1">
    <w:name w:val="Default Paragraph Font"/>
    <w:qFormat/>
    <w:pPr>
      <w:pBdr/>
      <w:spacing/>
      <w:ind/>
    </w:pPr>
  </w:style>
  <w:style w:type="paragraph" w:styleId="920">
    <w:name w:val="Заголовок"/>
    <w:basedOn w:val="906"/>
    <w:next w:val="921"/>
    <w:qFormat/>
    <w:pPr>
      <w:keepNext w:val="true"/>
      <w:pBdr/>
      <w:spacing w:after="120" w:before="240"/>
      <w:ind/>
    </w:pPr>
    <w:rPr>
      <w:rFonts w:ascii="Liberation Sans" w:hAnsi="Liberation Sans" w:eastAsia="Noto Sans CJK SC" w:cs="Lohit Devanagari"/>
      <w:sz w:val="28"/>
      <w:szCs w:val="28"/>
    </w:rPr>
  </w:style>
  <w:style w:type="paragraph" w:styleId="921">
    <w:name w:val="Body Text"/>
    <w:basedOn w:val="906"/>
    <w:pPr>
      <w:pBdr/>
      <w:spacing w:after="140" w:before="0" w:line="276" w:lineRule="auto"/>
      <w:ind/>
    </w:pPr>
  </w:style>
  <w:style w:type="paragraph" w:styleId="922">
    <w:name w:val="List"/>
    <w:basedOn w:val="921"/>
    <w:pPr>
      <w:pBdr/>
      <w:spacing/>
      <w:ind/>
    </w:pPr>
    <w:rPr>
      <w:rFonts w:cs="Lohit Devanagari"/>
    </w:rPr>
  </w:style>
  <w:style w:type="paragraph" w:styleId="923">
    <w:name w:val="Caption"/>
    <w:basedOn w:val="906"/>
    <w:qFormat/>
    <w:pPr>
      <w:suppressLineNumbers w:val="true"/>
      <w:pBdr/>
      <w:spacing w:after="120" w:before="120"/>
      <w:ind/>
    </w:pPr>
    <w:rPr>
      <w:rFonts w:cs="Lohit Devanagari"/>
      <w:i/>
      <w:iCs/>
      <w:sz w:val="24"/>
      <w:szCs w:val="24"/>
    </w:rPr>
  </w:style>
  <w:style w:type="paragraph" w:styleId="924">
    <w:name w:val="Указатель"/>
    <w:basedOn w:val="906"/>
    <w:qFormat/>
    <w:pPr>
      <w:suppressLineNumbers w:val="true"/>
      <w:pBdr/>
      <w:spacing/>
      <w:ind/>
    </w:pPr>
    <w:rPr>
      <w:rFonts w:cs="Lohit Devanagari"/>
    </w:rPr>
  </w:style>
  <w:style w:type="paragraph" w:styleId="925">
    <w:name w:val="текст"/>
    <w:qFormat/>
    <w:pPr>
      <w:widowControl w:val="true"/>
      <w:pBdr/>
      <w:spacing w:after="0" w:before="0"/>
      <w:ind/>
      <w:jc w:val="both"/>
    </w:pPr>
    <w:rPr>
      <w:rFonts w:ascii="SchoolBookC;Times New Roman" w:hAnsi="SchoolBookC;Times New Roman" w:eastAsia="Times New Roman" w:cs="SchoolBookC;Times New Roman"/>
      <w:color w:val="000000"/>
      <w:sz w:val="24"/>
      <w:szCs w:val="20"/>
      <w:lang w:val="ru-RU" w:eastAsia="zh-CN" w:bidi="ar-SA"/>
    </w:rPr>
  </w:style>
  <w:style w:type="paragraph" w:styleId="926">
    <w:name w:val="Заголовок списка"/>
    <w:basedOn w:val="906"/>
    <w:next w:val="927"/>
    <w:qFormat/>
    <w:pPr>
      <w:pBdr/>
      <w:spacing/>
      <w:ind w:firstLine="0"/>
    </w:pPr>
  </w:style>
  <w:style w:type="paragraph" w:styleId="927">
    <w:name w:val="Содержимое списка"/>
    <w:basedOn w:val="906"/>
    <w:qFormat/>
    <w:pPr>
      <w:pBdr/>
      <w:spacing/>
      <w:ind w:firstLine="0" w:left="567"/>
    </w:pPr>
  </w:style>
  <w:style w:type="paragraph" w:styleId="928">
    <w:name w:val="Содержимое таблицы"/>
    <w:basedOn w:val="906"/>
    <w:qFormat/>
    <w:pPr>
      <w:suppressLineNumbers w:val="true"/>
      <w:pBdr/>
      <w:spacing/>
      <w:ind/>
    </w:pPr>
  </w:style>
  <w:style w:type="paragraph" w:styleId="929">
    <w:name w:val="Заголовок таблицы"/>
    <w:basedOn w:val="928"/>
    <w:qFormat/>
    <w:pPr>
      <w:suppressLineNumbers w:val="true"/>
      <w:pBdr/>
      <w:spacing/>
      <w:ind/>
      <w:jc w:val="center"/>
    </w:pPr>
    <w:rPr>
      <w:b/>
      <w:bCs/>
    </w:rPr>
  </w:style>
  <w:style w:type="paragraph" w:styleId="930">
    <w:name w:val="docdata"/>
    <w:basedOn w:val="906"/>
    <w:qFormat/>
    <w:pPr>
      <w:pBdr/>
      <w:spacing w:after="280" w:before="280"/>
      <w:ind/>
    </w:pPr>
    <w:rPr>
      <w:rFonts w:ascii="Times New Roman" w:hAnsi="Times New Roman" w:eastAsia="Times New Roman" w:cs="Times New Roman"/>
      <w:lang w:bidi="ar-SA"/>
    </w:rPr>
  </w:style>
  <w:style w:type="paragraph" w:styleId="931">
    <w:name w:val="Table Paragraph"/>
    <w:basedOn w:val="906"/>
    <w:qFormat/>
    <w:pPr>
      <w:pBdr/>
      <w:tabs>
        <w:tab w:val="clear" w:leader="none" w:pos="709"/>
      </w:tabs>
      <w:spacing/>
      <w:ind w:firstLine="0" w:left="120"/>
    </w:pPr>
    <w:rPr>
      <w:rFonts w:ascii="Trebuchet MS" w:hAnsi="Trebuchet MS" w:eastAsia="Trebuchet MS" w:cs="Trebuchet MS"/>
      <w:lang w:eastAsia="en-US" w:bidi="ar-SA"/>
    </w:rPr>
  </w:style>
  <w:style w:type="paragraph" w:styleId="932">
    <w:name w:val="List Paragraph"/>
    <w:basedOn w:val="906"/>
    <w:qFormat/>
    <w:pPr>
      <w:pBdr/>
      <w:tabs>
        <w:tab w:val="clear" w:leader="none" w:pos="709"/>
      </w:tabs>
      <w:spacing w:after="0" w:before="43"/>
      <w:ind w:hanging="179" w:left="289"/>
    </w:pPr>
    <w:rPr>
      <w:rFonts w:ascii="Trebuchet MS" w:hAnsi="Trebuchet MS" w:eastAsia="Trebuchet MS" w:cs="Trebuchet MS"/>
      <w:lang w:eastAsia="en-US" w:bidi="ar-SA"/>
    </w:rPr>
  </w:style>
  <w:style w:type="numbering" w:styleId="933">
    <w:name w:val="WW8Num16"/>
    <w:qFormat/>
    <w:pPr>
      <w:pBdr/>
      <w:spacing/>
      <w:ind/>
    </w:pPr>
  </w:style>
  <w:style w:type="paragraph" w:styleId="934" w:customStyle="1">
    <w:name w:val="Без интервала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935" w:customStyle="1">
    <w:name w:val="ConsPlusNonformat"/>
    <w:pPr>
      <w:keepNext w:val="false"/>
      <w:keepLines w:val="false"/>
      <w:pageBreakBefore w:val="false"/>
      <w:widowControl w:val="fals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ar-SA" w:bidi="ar-SA"/>
      <w14:ligatures w14:val="none"/>
    </w:rPr>
  </w:style>
  <w:style w:type="character" w:styleId="936" w:customStyle="1">
    <w:name w:val="Без интервала Знак"/>
    <w:basedOn w:val="746"/>
    <w:qFormat/>
    <w:pPr>
      <w:pBdr/>
      <w:spacing/>
      <w:ind/>
    </w:pPr>
    <w:rPr>
      <w:rFonts w:ascii="Times New Roman" w:hAnsi="Times New Roman" w:eastAsia="Times New Roman" w:cs="Times New Roman"/>
      <w:color w:val="000000"/>
      <w:sz w:val="24"/>
      <w:szCs w:val="24"/>
      <w:lang w:eastAsia="ru-RU" w:bidi="ru-RU"/>
    </w:rPr>
  </w:style>
  <w:style w:type="paragraph" w:styleId="937" w:customStyle="1">
    <w:name w:val="Абзац договор"/>
    <w:basedOn w:val="925"/>
    <w:qFormat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clear" w:color="auto" w:fill="ffffff"/>
      <w:spacing w:after="0" w:afterAutospacing="0" w:before="0" w:beforeAutospacing="0" w:line="360" w:lineRule="auto"/>
      <w:ind w:right="0" w:firstLine="709" w:left="0"/>
      <w:contextualSpacing w:val="false"/>
      <w:jc w:val="both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Application>ONLYOFFICE/9.0.4.50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20</cp:revision>
  <dcterms:created xsi:type="dcterms:W3CDTF">2023-12-01T08:37:17Z</dcterms:created>
  <dcterms:modified xsi:type="dcterms:W3CDTF">2025-09-18T12:55:26Z</dcterms:modified>
</cp:coreProperties>
</file>